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F8" w:rsidRDefault="003B20F8" w:rsidP="003B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20F8" w:rsidRDefault="003B20F8" w:rsidP="003B2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ВЕРХОБЫСТРИЦКОГО СЕЛЬСКОГО  ПОСЕЛЕНИЯ</w:t>
      </w:r>
    </w:p>
    <w:p w:rsidR="003B20F8" w:rsidRDefault="003B20F8" w:rsidP="003B20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</w:t>
      </w:r>
    </w:p>
    <w:p w:rsidR="003B20F8" w:rsidRDefault="003B20F8" w:rsidP="003B20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B20F8" w:rsidRDefault="003B20F8" w:rsidP="003B20F8">
      <w:pPr>
        <w:jc w:val="center"/>
        <w:rPr>
          <w:b/>
          <w:sz w:val="28"/>
          <w:szCs w:val="28"/>
        </w:rPr>
      </w:pPr>
    </w:p>
    <w:p w:rsidR="003B20F8" w:rsidRDefault="003B20F8" w:rsidP="003B20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B20F8" w:rsidRDefault="003B20F8" w:rsidP="003B20F8">
      <w:pPr>
        <w:jc w:val="center"/>
        <w:outlineLvl w:val="0"/>
        <w:rPr>
          <w:b/>
          <w:sz w:val="28"/>
          <w:szCs w:val="28"/>
        </w:rPr>
      </w:pPr>
    </w:p>
    <w:p w:rsidR="003B20F8" w:rsidRPr="00404179" w:rsidRDefault="003B20F8" w:rsidP="003B20F8">
      <w:pPr>
        <w:ind w:firstLine="567"/>
        <w:jc w:val="center"/>
      </w:pPr>
      <w:r w:rsidRPr="00404179">
        <w:rPr>
          <w:sz w:val="28"/>
          <w:szCs w:val="28"/>
        </w:rPr>
        <w:t xml:space="preserve">от </w:t>
      </w:r>
      <w:r w:rsidR="00392087">
        <w:rPr>
          <w:sz w:val="28"/>
          <w:szCs w:val="28"/>
        </w:rPr>
        <w:t>1</w:t>
      </w:r>
      <w:r w:rsidR="00396336">
        <w:rPr>
          <w:sz w:val="28"/>
          <w:szCs w:val="28"/>
        </w:rPr>
        <w:t>8</w:t>
      </w:r>
      <w:r w:rsidR="00392087">
        <w:rPr>
          <w:sz w:val="28"/>
          <w:szCs w:val="28"/>
        </w:rPr>
        <w:t>.11</w:t>
      </w:r>
      <w:r>
        <w:rPr>
          <w:sz w:val="28"/>
          <w:szCs w:val="28"/>
        </w:rPr>
        <w:t>.202</w:t>
      </w:r>
      <w:r w:rsidR="00392087">
        <w:rPr>
          <w:sz w:val="28"/>
          <w:szCs w:val="28"/>
        </w:rPr>
        <w:t>4</w:t>
      </w:r>
      <w:r w:rsidRPr="00404179">
        <w:rPr>
          <w:sz w:val="28"/>
          <w:szCs w:val="28"/>
        </w:rPr>
        <w:t xml:space="preserve"> № </w:t>
      </w:r>
      <w:r w:rsidR="00396336">
        <w:rPr>
          <w:sz w:val="28"/>
          <w:szCs w:val="28"/>
        </w:rPr>
        <w:t>5</w:t>
      </w:r>
      <w:r w:rsidR="0094296D">
        <w:rPr>
          <w:sz w:val="28"/>
          <w:szCs w:val="28"/>
        </w:rPr>
        <w:t>0</w:t>
      </w:r>
    </w:p>
    <w:p w:rsidR="003B20F8" w:rsidRPr="00404179" w:rsidRDefault="003B20F8" w:rsidP="003B20F8">
      <w:pPr>
        <w:ind w:firstLine="567"/>
        <w:jc w:val="center"/>
      </w:pPr>
      <w:r w:rsidRPr="00404179">
        <w:rPr>
          <w:sz w:val="28"/>
          <w:szCs w:val="28"/>
        </w:rPr>
        <w:t>с. Верхобыстрица</w:t>
      </w:r>
    </w:p>
    <w:p w:rsidR="003B20F8" w:rsidRDefault="003B20F8" w:rsidP="003B20F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10D7A" w:rsidRDefault="00410D7A" w:rsidP="00410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муниципального образования Верхобыстрицкое сельское поселение Куменского </w:t>
      </w:r>
      <w:r w:rsidR="00392087">
        <w:rPr>
          <w:sz w:val="28"/>
          <w:szCs w:val="28"/>
        </w:rPr>
        <w:t>района Кировской области на 2025 год и на плановый период 2026-2027</w:t>
      </w:r>
      <w:r>
        <w:rPr>
          <w:sz w:val="28"/>
          <w:szCs w:val="28"/>
        </w:rPr>
        <w:t xml:space="preserve"> годов.</w:t>
      </w:r>
    </w:p>
    <w:p w:rsidR="00410D7A" w:rsidRDefault="00410D7A" w:rsidP="00410D7A">
      <w:pPr>
        <w:jc w:val="center"/>
        <w:rPr>
          <w:sz w:val="28"/>
          <w:szCs w:val="28"/>
        </w:rPr>
      </w:pPr>
    </w:p>
    <w:p w:rsidR="00410D7A" w:rsidRDefault="00410D7A" w:rsidP="00410D7A">
      <w:pPr>
        <w:rPr>
          <w:sz w:val="28"/>
          <w:szCs w:val="28"/>
        </w:rPr>
      </w:pPr>
    </w:p>
    <w:p w:rsidR="00410D7A" w:rsidRDefault="009F6B24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</w:t>
      </w:r>
      <w:r w:rsidR="00410D7A">
        <w:rPr>
          <w:sz w:val="28"/>
          <w:szCs w:val="28"/>
        </w:rPr>
        <w:t xml:space="preserve"> Бюджетного кодекса Российской Федерации и </w:t>
      </w:r>
      <w:r w:rsidR="00410D7A" w:rsidRPr="00786D50">
        <w:rPr>
          <w:sz w:val="28"/>
          <w:szCs w:val="28"/>
        </w:rPr>
        <w:t>П</w:t>
      </w:r>
      <w:r w:rsidR="00410D7A">
        <w:rPr>
          <w:sz w:val="28"/>
          <w:szCs w:val="28"/>
        </w:rPr>
        <w:t xml:space="preserve">оложением о бюджетном процессе в Верхобыстрицком сельском поселении, утверждённом решением Верхобыстрицкой сельской Думы от 26.06.2014 № 22/60б администрация Верхобыстрицкого сельского поселения ПОСТАНОВЛЯЕТ: 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765C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 социально-экономического развития муниципального образования Верхобыстрицкое сельское поселение  Куменского </w:t>
      </w:r>
      <w:r w:rsidR="00392087">
        <w:rPr>
          <w:sz w:val="28"/>
          <w:szCs w:val="28"/>
        </w:rPr>
        <w:t>района Кировской области на 2025</w:t>
      </w:r>
      <w:r>
        <w:rPr>
          <w:sz w:val="28"/>
          <w:szCs w:val="28"/>
        </w:rPr>
        <w:t xml:space="preserve"> год и на плановый период </w:t>
      </w:r>
      <w:r w:rsidR="00392087">
        <w:rPr>
          <w:sz w:val="28"/>
          <w:szCs w:val="28"/>
        </w:rPr>
        <w:t>2026-2027</w:t>
      </w:r>
      <w:r>
        <w:rPr>
          <w:sz w:val="28"/>
          <w:szCs w:val="28"/>
        </w:rPr>
        <w:t>годов. Прилагается.</w:t>
      </w:r>
    </w:p>
    <w:p w:rsidR="00410D7A" w:rsidRDefault="00410D7A" w:rsidP="00410D7A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Настоящее постановление </w:t>
      </w:r>
      <w:r w:rsidR="00392087">
        <w:rPr>
          <w:sz w:val="28"/>
          <w:szCs w:val="28"/>
        </w:rPr>
        <w:t>вступает в силу с 01 января 2025</w:t>
      </w:r>
      <w:r>
        <w:rPr>
          <w:sz w:val="28"/>
          <w:szCs w:val="28"/>
        </w:rPr>
        <w:t xml:space="preserve"> года.</w:t>
      </w:r>
    </w:p>
    <w:p w:rsidR="00410D7A" w:rsidRDefault="00410D7A" w:rsidP="00410D7A">
      <w:pPr>
        <w:jc w:val="both"/>
        <w:rPr>
          <w:sz w:val="28"/>
          <w:szCs w:val="28"/>
        </w:rPr>
      </w:pPr>
    </w:p>
    <w:p w:rsidR="00410D7A" w:rsidRDefault="00410D7A" w:rsidP="00410D7A">
      <w:pPr>
        <w:jc w:val="both"/>
        <w:rPr>
          <w:sz w:val="28"/>
          <w:szCs w:val="28"/>
        </w:rPr>
      </w:pP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Верхобыстрицкого 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О.А. Симонова</w:t>
      </w:r>
    </w:p>
    <w:p w:rsidR="00410D7A" w:rsidRDefault="00410D7A" w:rsidP="00410D7A">
      <w:pPr>
        <w:jc w:val="both"/>
        <w:rPr>
          <w:sz w:val="28"/>
          <w:szCs w:val="28"/>
        </w:rPr>
      </w:pPr>
    </w:p>
    <w:p w:rsidR="00410D7A" w:rsidRDefault="00410D7A" w:rsidP="00410D7A">
      <w:pPr>
        <w:tabs>
          <w:tab w:val="left" w:pos="851"/>
        </w:tabs>
        <w:jc w:val="both"/>
        <w:rPr>
          <w:sz w:val="28"/>
          <w:szCs w:val="28"/>
        </w:rPr>
      </w:pPr>
    </w:p>
    <w:p w:rsidR="00410D7A" w:rsidRDefault="00410D7A" w:rsidP="00410D7A">
      <w:pPr>
        <w:rPr>
          <w:sz w:val="28"/>
          <w:szCs w:val="28"/>
        </w:rPr>
      </w:pPr>
    </w:p>
    <w:p w:rsidR="00410D7A" w:rsidRDefault="00410D7A" w:rsidP="00410D7A">
      <w:pPr>
        <w:rPr>
          <w:sz w:val="28"/>
          <w:szCs w:val="28"/>
        </w:rPr>
      </w:pPr>
    </w:p>
    <w:p w:rsidR="00410D7A" w:rsidRDefault="00410D7A" w:rsidP="00410D7A"/>
    <w:p w:rsidR="00410D7A" w:rsidRDefault="00410D7A" w:rsidP="00410D7A"/>
    <w:p w:rsidR="00410D7A" w:rsidRDefault="00410D7A" w:rsidP="00410D7A"/>
    <w:p w:rsidR="00410D7A" w:rsidRDefault="00410D7A" w:rsidP="00410D7A">
      <w:pPr>
        <w:sectPr w:rsidR="00410D7A" w:rsidSect="00447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42" w:type="dxa"/>
        <w:tblInd w:w="108" w:type="dxa"/>
        <w:tblLook w:val="04A0"/>
      </w:tblPr>
      <w:tblGrid>
        <w:gridCol w:w="456"/>
        <w:gridCol w:w="5356"/>
        <w:gridCol w:w="1616"/>
        <w:gridCol w:w="1420"/>
        <w:gridCol w:w="1500"/>
        <w:gridCol w:w="1560"/>
        <w:gridCol w:w="1420"/>
        <w:gridCol w:w="1514"/>
      </w:tblGrid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right"/>
            </w:pPr>
            <w:r w:rsidRPr="007D6AC5">
              <w:t xml:space="preserve">Приложение </w:t>
            </w:r>
          </w:p>
        </w:tc>
      </w:tr>
      <w:tr w:rsidR="00410D7A" w:rsidRPr="007D6AC5" w:rsidTr="00D20B5B">
        <w:trPr>
          <w:trHeight w:val="315"/>
        </w:trPr>
        <w:tc>
          <w:tcPr>
            <w:tcW w:w="14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7A" w:rsidRPr="007D6AC5" w:rsidRDefault="00410D7A" w:rsidP="00D20B5B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Форма по прогнозу развития</w:t>
            </w:r>
            <w:r>
              <w:rPr>
                <w:b/>
                <w:bCs/>
              </w:rPr>
              <w:t xml:space="preserve"> Верхобыстрицкое сельское поселение 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14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0D7A" w:rsidRPr="007D6AC5" w:rsidRDefault="00410D7A" w:rsidP="00D20B5B">
            <w:pPr>
              <w:jc w:val="center"/>
              <w:rPr>
                <w:color w:val="FFFFFF"/>
              </w:rPr>
            </w:pP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</w:p>
        </w:tc>
      </w:tr>
      <w:tr w:rsidR="00410D7A" w:rsidRPr="007D6AC5" w:rsidTr="00D20B5B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410D7A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410D7A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Pr="007D6AC5" w:rsidRDefault="00410D7A" w:rsidP="00410D7A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Единица</w:t>
            </w:r>
            <w:r w:rsidRPr="007D6AC5">
              <w:rPr>
                <w:b/>
                <w:bCs/>
              </w:rPr>
              <w:br/>
              <w:t>измерения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Default="00392087" w:rsidP="00410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410D7A">
              <w:rPr>
                <w:b/>
                <w:bCs/>
              </w:rPr>
              <w:t xml:space="preserve"> год   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Default="00392087" w:rsidP="00410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410D7A">
              <w:rPr>
                <w:b/>
                <w:bCs/>
              </w:rPr>
              <w:t xml:space="preserve"> год оценка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Default="00392087" w:rsidP="00410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410D7A">
              <w:rPr>
                <w:b/>
                <w:bCs/>
              </w:rPr>
              <w:t xml:space="preserve"> год прогноз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Default="00392087" w:rsidP="00410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410D7A">
              <w:rPr>
                <w:b/>
                <w:bCs/>
              </w:rPr>
              <w:t xml:space="preserve"> год прогноз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Default="00392087" w:rsidP="00410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410D7A">
              <w:rPr>
                <w:b/>
                <w:bCs/>
              </w:rPr>
              <w:t xml:space="preserve"> год прогноз</w:t>
            </w:r>
          </w:p>
        </w:tc>
      </w:tr>
      <w:tr w:rsidR="00392087" w:rsidRPr="007D6AC5" w:rsidTr="00D20B5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1.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Среднегодовая численность постоянного населения (раздел "Население")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 w:rsidRPr="007D6AC5">
              <w:t>человек</w:t>
            </w:r>
            <w:r w:rsidRPr="007D6AC5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414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392087" w:rsidRPr="007D6AC5" w:rsidTr="00D20B5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2.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 xml:space="preserve">Численность трудоспособного населения в трудоспособном возрасте (раздел "Баланс трудовых ресурсов")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 w:rsidRPr="007D6AC5">
              <w:t>человек</w:t>
            </w:r>
            <w:r w:rsidRPr="007D6AC5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154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392087" w:rsidRPr="007D6AC5" w:rsidTr="00D20B5B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D6AC5">
              <w:rPr>
                <w:b/>
                <w:bCs/>
              </w:rPr>
              <w:t>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Численность занятого населения в организациях, включая занятых по найму у индивидуальных предпринимателей и отдельных граждан  (раздел "Баланс трудовых ресурсов")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B02D1C" w:rsidRDefault="00392087" w:rsidP="00392087">
            <w:pPr>
              <w:jc w:val="center"/>
              <w:rPr>
                <w:bCs/>
              </w:rPr>
            </w:pPr>
            <w:r w:rsidRPr="00B02D1C">
              <w:rPr>
                <w:bCs/>
              </w:rPr>
              <w:t>человек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131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392087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D6AC5">
              <w:rPr>
                <w:b/>
                <w:bCs/>
              </w:rPr>
              <w:t>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Фонд оплаты труда (раздел "Труд")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t> </w:t>
            </w:r>
            <w:r w:rsidRPr="007D6AC5">
              <w:t>тыс.рублей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78572,1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88786,5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96866,1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103453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110177,4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392087" w:rsidRPr="007D6AC5" w:rsidTr="00D20B5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7D6AC5">
              <w:rPr>
                <w:b/>
                <w:bCs/>
              </w:rPr>
              <w:t>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B02D1C" w:rsidRDefault="00392087" w:rsidP="00392087">
            <w:pPr>
              <w:jc w:val="center"/>
              <w:rPr>
                <w:bCs/>
              </w:rPr>
            </w:pPr>
            <w:r w:rsidRPr="00B02D1C">
              <w:rPr>
                <w:bCs/>
              </w:rPr>
              <w:t>рублей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50757,2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57803,7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62575,0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65809,8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Default="00392087" w:rsidP="00392087">
            <w:pPr>
              <w:jc w:val="center"/>
            </w:pPr>
            <w:r>
              <w:t>70087,4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392087" w:rsidRPr="007D6AC5" w:rsidTr="00D20B5B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D6AC5">
              <w:rPr>
                <w:b/>
                <w:bCs/>
              </w:rPr>
              <w:t>.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Объем инвестиций в основной капитал по полному кругу предприятий и организаций (включая субъекты малого предпринимательства), по месту фактического вложения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center"/>
            </w:pPr>
            <w:r w:rsidRPr="007D6AC5">
              <w:t>тыс.рублей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31417,0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36050,0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37020,0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40020,0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40020,0</w:t>
            </w:r>
          </w:p>
        </w:tc>
      </w:tr>
      <w:tr w:rsidR="00410D7A" w:rsidRPr="007D6AC5" w:rsidTr="00D20B5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7A" w:rsidRPr="007D6AC5" w:rsidRDefault="00410D7A" w:rsidP="00D20B5B">
            <w:r w:rsidRPr="007D6AC5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 </w:t>
            </w:r>
          </w:p>
        </w:tc>
      </w:tr>
      <w:tr w:rsidR="00410D7A" w:rsidRPr="007D6AC5" w:rsidTr="00D20B5B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  <w:rPr>
                <w:b/>
                <w:bCs/>
              </w:rPr>
            </w:pPr>
            <w:r w:rsidRPr="007D6AC5">
              <w:rPr>
                <w:b/>
                <w:bCs/>
              </w:rPr>
              <w:lastRenderedPageBreak/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7A" w:rsidRPr="007D6AC5" w:rsidRDefault="00410D7A" w:rsidP="00D20B5B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Отгружено товаров собственного производства, выполненных работ и услуг собственными силами</w:t>
            </w:r>
            <w:r>
              <w:rPr>
                <w:b/>
                <w:bCs/>
              </w:rPr>
              <w:t xml:space="preserve"> по полному кругу предприятий (</w:t>
            </w:r>
            <w:r w:rsidRPr="007D6AC5">
              <w:rPr>
                <w:b/>
                <w:bCs/>
              </w:rPr>
              <w:t>раздел "Промышленность")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</w:tr>
      <w:tr w:rsidR="00392087" w:rsidRPr="007D6AC5" w:rsidTr="00D20B5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pPr>
              <w:jc w:val="right"/>
            </w:pPr>
            <w:r w:rsidRPr="007D6AC5">
              <w:t>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87" w:rsidRPr="007D6AC5" w:rsidRDefault="00392087" w:rsidP="00392087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Прибыль прибыльных предприятий</w:t>
            </w:r>
            <w:r>
              <w:rPr>
                <w:b/>
                <w:bCs/>
              </w:rPr>
              <w:t xml:space="preserve"> по полному кругу предприятий (</w:t>
            </w:r>
            <w:r w:rsidRPr="007D6AC5">
              <w:rPr>
                <w:b/>
                <w:bCs/>
              </w:rPr>
              <w:t>раздел "Финансы")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Pr="007D6AC5" w:rsidRDefault="00392087" w:rsidP="00392087">
            <w:r w:rsidRPr="007D6AC5">
              <w:t>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29835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30714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32000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087" w:rsidRDefault="00392087" w:rsidP="00392087">
            <w:pPr>
              <w:jc w:val="center"/>
            </w:pPr>
            <w:r>
              <w:t>33000</w:t>
            </w:r>
          </w:p>
        </w:tc>
      </w:tr>
      <w:tr w:rsidR="00410D7A" w:rsidRPr="007D6AC5" w:rsidTr="00D20B5B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right"/>
            </w:pPr>
            <w:r w:rsidRPr="007D6AC5">
              <w:t>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D7A" w:rsidRPr="007D6AC5" w:rsidRDefault="00410D7A" w:rsidP="00D20B5B">
            <w:pPr>
              <w:rPr>
                <w:b/>
                <w:bCs/>
              </w:rPr>
            </w:pPr>
            <w:r w:rsidRPr="007D6AC5">
              <w:rPr>
                <w:b/>
                <w:bCs/>
              </w:rPr>
              <w:t>Убыток предприятий</w:t>
            </w:r>
            <w:r>
              <w:rPr>
                <w:b/>
                <w:bCs/>
              </w:rPr>
              <w:t xml:space="preserve"> по полному кругу предприятий (</w:t>
            </w:r>
            <w:r w:rsidRPr="007D6AC5">
              <w:rPr>
                <w:b/>
                <w:bCs/>
              </w:rPr>
              <w:t>раздел "Финансы")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r w:rsidRPr="007D6AC5">
              <w:t>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7A" w:rsidRPr="007D6AC5" w:rsidRDefault="00410D7A" w:rsidP="00D20B5B">
            <w:pPr>
              <w:jc w:val="center"/>
            </w:pPr>
            <w:r w:rsidRPr="007D6AC5">
              <w:t>0</w:t>
            </w:r>
          </w:p>
        </w:tc>
      </w:tr>
    </w:tbl>
    <w:p w:rsidR="00410D7A" w:rsidRDefault="00410D7A" w:rsidP="00410D7A">
      <w:pPr>
        <w:sectPr w:rsidR="00410D7A" w:rsidSect="007D6A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0D7A" w:rsidRDefault="00410D7A" w:rsidP="00410D7A"/>
    <w:p w:rsidR="00410D7A" w:rsidRDefault="00410D7A" w:rsidP="00410D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10D7A" w:rsidRDefault="00410D7A" w:rsidP="00410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прогнозу социально-экономического развития </w:t>
      </w:r>
    </w:p>
    <w:p w:rsidR="00410D7A" w:rsidRDefault="00410D7A" w:rsidP="00410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Верхобыстрицкое сельское поселение </w:t>
      </w:r>
    </w:p>
    <w:p w:rsidR="00410D7A" w:rsidRDefault="00392087" w:rsidP="00410D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2025</w:t>
      </w:r>
      <w:r w:rsidR="009F6B24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2026-2027</w:t>
      </w:r>
      <w:r w:rsidR="00410D7A">
        <w:rPr>
          <w:sz w:val="28"/>
          <w:szCs w:val="28"/>
        </w:rPr>
        <w:t>годов</w:t>
      </w:r>
    </w:p>
    <w:p w:rsidR="00410D7A" w:rsidRDefault="00410D7A" w:rsidP="00410D7A">
      <w:pPr>
        <w:rPr>
          <w:sz w:val="28"/>
          <w:szCs w:val="28"/>
        </w:rPr>
      </w:pP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Социально-экономическая ситуация Верхобыстрицкого сельс</w:t>
      </w:r>
      <w:r w:rsidR="009F6B24">
        <w:rPr>
          <w:sz w:val="28"/>
          <w:szCs w:val="28"/>
        </w:rPr>
        <w:t>кого поселения на очередной 202</w:t>
      </w:r>
      <w:r w:rsidR="0039208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</w:t>
      </w:r>
      <w:r w:rsidR="00392087">
        <w:rPr>
          <w:sz w:val="28"/>
          <w:szCs w:val="28"/>
        </w:rPr>
        <w:t>2026-2027</w:t>
      </w:r>
      <w:r>
        <w:rPr>
          <w:sz w:val="28"/>
          <w:szCs w:val="28"/>
        </w:rPr>
        <w:t>годов по прогнозным данным характеризуется следующими показателями: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1. Демографическая ситуация</w:t>
      </w:r>
      <w:r>
        <w:rPr>
          <w:sz w:val="28"/>
          <w:szCs w:val="28"/>
        </w:rPr>
        <w:t xml:space="preserve"> в поселении остается на уровне предыдущих лет. Общая среднегодовая численно</w:t>
      </w:r>
      <w:r w:rsidR="009F6B24">
        <w:rPr>
          <w:sz w:val="28"/>
          <w:szCs w:val="28"/>
        </w:rPr>
        <w:t>сть постоянного населения к 2022 году составила</w:t>
      </w:r>
      <w:r>
        <w:rPr>
          <w:sz w:val="28"/>
          <w:szCs w:val="28"/>
        </w:rPr>
        <w:t xml:space="preserve"> после переписи населения 579 человека. Численность трудоспособного населения снижается, увеличивается количество людей пенсионного возраста. Численность молодежи остается на уровне предыдущих лет за счет притока семей из других районов. Численность не</w:t>
      </w:r>
      <w:r w:rsidR="00E30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работающего остается на уровне предыдущих лет. </w:t>
      </w:r>
    </w:p>
    <w:p w:rsidR="00410D7A" w:rsidRDefault="00410D7A" w:rsidP="00410D7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Инвестиции</w:t>
      </w:r>
      <w:r w:rsidR="0094296D" w:rsidRPr="009429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всех источников финансирования по крупным и средним предприятиям и организациям увеличиваются.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Финансы.</w:t>
      </w:r>
      <w:r w:rsidR="0094296D" w:rsidRPr="009429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Прибыль прибыльных предприятий на протяжении прогнозного периода незначительно увеличивается.</w:t>
      </w:r>
    </w:p>
    <w:p w:rsidR="00410D7A" w:rsidRDefault="00410D7A" w:rsidP="00410D7A">
      <w:pPr>
        <w:jc w:val="both"/>
        <w:rPr>
          <w:sz w:val="32"/>
          <w:szCs w:val="28"/>
        </w:rPr>
      </w:pPr>
      <w:r>
        <w:rPr>
          <w:b/>
          <w:sz w:val="28"/>
          <w:szCs w:val="28"/>
          <w:u w:val="single"/>
        </w:rPr>
        <w:t>4. Бюджет поселения</w:t>
      </w:r>
      <w:r w:rsidR="00392087">
        <w:rPr>
          <w:sz w:val="28"/>
          <w:szCs w:val="28"/>
        </w:rPr>
        <w:t xml:space="preserve"> по итогам 2024</w:t>
      </w:r>
      <w:r>
        <w:rPr>
          <w:sz w:val="28"/>
          <w:szCs w:val="28"/>
        </w:rPr>
        <w:t xml:space="preserve"> года по доходам составит </w:t>
      </w:r>
      <w:r w:rsidR="00E307A5">
        <w:rPr>
          <w:sz w:val="28"/>
          <w:szCs w:val="28"/>
        </w:rPr>
        <w:t xml:space="preserve">9817,8 </w:t>
      </w:r>
      <w:r>
        <w:rPr>
          <w:sz w:val="28"/>
          <w:szCs w:val="28"/>
        </w:rPr>
        <w:t>тыс.</w:t>
      </w:r>
      <w:r w:rsidR="00E307A5">
        <w:rPr>
          <w:sz w:val="28"/>
          <w:szCs w:val="28"/>
        </w:rPr>
        <w:t xml:space="preserve"> </w:t>
      </w:r>
      <w:r>
        <w:rPr>
          <w:sz w:val="28"/>
          <w:szCs w:val="28"/>
        </w:rPr>
        <w:t>руб., при этом удельный вес собственных доходов составил 1,</w:t>
      </w:r>
      <w:r w:rsidR="00E307A5">
        <w:rPr>
          <w:sz w:val="28"/>
          <w:szCs w:val="28"/>
        </w:rPr>
        <w:t>0</w:t>
      </w:r>
      <w:r>
        <w:rPr>
          <w:sz w:val="28"/>
          <w:szCs w:val="28"/>
        </w:rPr>
        <w:t xml:space="preserve">5 %. На протяжении планового периода доля собственных доходов меняется не значительно. Как и в прошлые отчетные периоды процент дотационности бюджета поселения достаточно высок. Расходы бюджета поселения осуществляются </w:t>
      </w:r>
      <w:r>
        <w:rPr>
          <w:sz w:val="28"/>
        </w:rPr>
        <w:t xml:space="preserve">в соответствии с Бюджетным Кодексом РФ, исходя из целей и задач, закрепленных Федеральным законом № 131 от 06.10.2003 «Об общих принципах организации местного самоуправления в Российской Федерации», обеспечивают выполнение расходных обязательств муниципального образования Верхобыстрицкое сельское поселение. 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5.Труд.</w:t>
      </w:r>
      <w:r>
        <w:rPr>
          <w:sz w:val="28"/>
          <w:szCs w:val="28"/>
        </w:rPr>
        <w:t xml:space="preserve"> На протяжении прогнозного периода наблюдается</w:t>
      </w:r>
      <w:r w:rsidR="00392087">
        <w:rPr>
          <w:sz w:val="28"/>
          <w:szCs w:val="28"/>
        </w:rPr>
        <w:t xml:space="preserve"> рост фонда оплаты труда, к 2025</w:t>
      </w:r>
      <w:bookmarkStart w:id="0" w:name="_GoBack"/>
      <w:bookmarkEnd w:id="0"/>
      <w:r>
        <w:rPr>
          <w:sz w:val="28"/>
          <w:szCs w:val="28"/>
        </w:rPr>
        <w:t xml:space="preserve"> году р</w:t>
      </w:r>
      <w:r w:rsidR="00392087">
        <w:rPr>
          <w:sz w:val="28"/>
          <w:szCs w:val="28"/>
        </w:rPr>
        <w:t>ост фонда составит 11,2 % к 2024</w:t>
      </w:r>
      <w:r>
        <w:rPr>
          <w:sz w:val="28"/>
          <w:szCs w:val="28"/>
        </w:rPr>
        <w:t xml:space="preserve"> году.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6.Развитие отраслей социальной сферы.</w:t>
      </w:r>
      <w:r w:rsidR="0094296D" w:rsidRPr="009429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Средняя обеспеченность населения жильем в отчетном периоде составила 46,0 кв.м. на человека, что соответствует социальной норме. В прогнозируемом периоде обеспеченность населения жильем не изменится.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поселения работают и оказывают свои услуги предприятия социально-</w:t>
      </w:r>
      <w:r w:rsidR="009F6B24">
        <w:rPr>
          <w:sz w:val="28"/>
          <w:szCs w:val="28"/>
        </w:rPr>
        <w:t>культурной сферы – детский сад,</w:t>
      </w:r>
      <w:r>
        <w:rPr>
          <w:sz w:val="28"/>
          <w:szCs w:val="28"/>
        </w:rPr>
        <w:t xml:space="preserve"> школа</w:t>
      </w:r>
      <w:r w:rsidR="009F6B24">
        <w:rPr>
          <w:sz w:val="28"/>
          <w:szCs w:val="28"/>
        </w:rPr>
        <w:t>-детский сад</w:t>
      </w:r>
      <w:r>
        <w:rPr>
          <w:sz w:val="28"/>
          <w:szCs w:val="28"/>
        </w:rPr>
        <w:t>, два ФАПа, 2 Дома культуры, 2 библиотеки.</w:t>
      </w:r>
    </w:p>
    <w:p w:rsidR="00410D7A" w:rsidRDefault="00410D7A" w:rsidP="0041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Анализируя все показатели, можно сделать вывод, что в развитии экономики поселения наблюдается стабильность и рост по отдельным показателям.</w:t>
      </w:r>
    </w:p>
    <w:p w:rsidR="00410D7A" w:rsidRDefault="00410D7A" w:rsidP="00410D7A"/>
    <w:p w:rsidR="00410D7A" w:rsidRDefault="00410D7A" w:rsidP="00410D7A"/>
    <w:sectPr w:rsidR="00410D7A" w:rsidSect="00C1458E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35" w:rsidRDefault="00023135" w:rsidP="00CC1E20">
      <w:r>
        <w:separator/>
      </w:r>
    </w:p>
  </w:endnote>
  <w:endnote w:type="continuationSeparator" w:id="1">
    <w:p w:rsidR="00023135" w:rsidRDefault="00023135" w:rsidP="00CC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35" w:rsidRDefault="00023135" w:rsidP="00CC1E20">
      <w:r>
        <w:separator/>
      </w:r>
    </w:p>
  </w:footnote>
  <w:footnote w:type="continuationSeparator" w:id="1">
    <w:p w:rsidR="00023135" w:rsidRDefault="00023135" w:rsidP="00CC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90" w:rsidRDefault="003B3448" w:rsidP="00B27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0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A90" w:rsidRDefault="000231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90" w:rsidRDefault="003B3448" w:rsidP="00B27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0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D7A">
      <w:rPr>
        <w:rStyle w:val="a5"/>
        <w:noProof/>
      </w:rPr>
      <w:t>5</w:t>
    </w:r>
    <w:r>
      <w:rPr>
        <w:rStyle w:val="a5"/>
      </w:rPr>
      <w:fldChar w:fldCharType="end"/>
    </w:r>
  </w:p>
  <w:p w:rsidR="00B27A90" w:rsidRDefault="000231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5354"/>
    <w:multiLevelType w:val="hybridMultilevel"/>
    <w:tmpl w:val="6B76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C4B"/>
    <w:multiLevelType w:val="hybridMultilevel"/>
    <w:tmpl w:val="3AA057DA"/>
    <w:lvl w:ilvl="0" w:tplc="651C63E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0F8"/>
    <w:rsid w:val="00023135"/>
    <w:rsid w:val="001D49D9"/>
    <w:rsid w:val="0021726E"/>
    <w:rsid w:val="00240BE9"/>
    <w:rsid w:val="00243623"/>
    <w:rsid w:val="002765CB"/>
    <w:rsid w:val="00392087"/>
    <w:rsid w:val="00396336"/>
    <w:rsid w:val="003B20F8"/>
    <w:rsid w:val="003B3448"/>
    <w:rsid w:val="00410D7A"/>
    <w:rsid w:val="007F644B"/>
    <w:rsid w:val="0094296D"/>
    <w:rsid w:val="00947D77"/>
    <w:rsid w:val="009F6B24"/>
    <w:rsid w:val="00A11D1E"/>
    <w:rsid w:val="00AA20E5"/>
    <w:rsid w:val="00AB0912"/>
    <w:rsid w:val="00C41342"/>
    <w:rsid w:val="00CC1E20"/>
    <w:rsid w:val="00CD70D9"/>
    <w:rsid w:val="00D856EC"/>
    <w:rsid w:val="00E00308"/>
    <w:rsid w:val="00E307A5"/>
    <w:rsid w:val="00F23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B2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2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2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D1E5-398F-4BBC-AE89-1EFEB87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dcterms:created xsi:type="dcterms:W3CDTF">2021-12-07T04:41:00Z</dcterms:created>
  <dcterms:modified xsi:type="dcterms:W3CDTF">2024-11-20T21:35:00Z</dcterms:modified>
</cp:coreProperties>
</file>